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B3C80" w14:textId="77777777" w:rsidR="00F205E0" w:rsidRDefault="00F205E0" w:rsidP="00F205E0"/>
    <w:p w14:paraId="49B6DC08" w14:textId="77777777" w:rsidR="00F256BD" w:rsidRDefault="00F256BD" w:rsidP="00F256BD">
      <w:pPr>
        <w:tabs>
          <w:tab w:val="left" w:pos="360"/>
          <w:tab w:val="left" w:pos="1620"/>
        </w:tabs>
        <w:ind w:left="360" w:right="90"/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Interested Persons</w:t>
      </w:r>
      <w:r>
        <w:rPr>
          <w:b/>
        </w:rPr>
        <w:tab/>
      </w:r>
      <w:r>
        <w:rPr>
          <w:b/>
        </w:rPr>
        <w:tab/>
      </w:r>
    </w:p>
    <w:p w14:paraId="0723FF7E" w14:textId="77777777" w:rsidR="00F256BD" w:rsidRDefault="00F256BD" w:rsidP="00F256BD">
      <w:pPr>
        <w:tabs>
          <w:tab w:val="left" w:pos="360"/>
          <w:tab w:val="left" w:pos="1170"/>
          <w:tab w:val="left" w:pos="1620"/>
        </w:tabs>
        <w:ind w:left="360" w:right="990"/>
      </w:pPr>
      <w:r>
        <w:tab/>
      </w:r>
      <w:r>
        <w:tab/>
      </w:r>
    </w:p>
    <w:p w14:paraId="0B0D3D6C" w14:textId="77777777" w:rsidR="00F256BD" w:rsidRDefault="00F256BD" w:rsidP="00F256BD">
      <w:pPr>
        <w:tabs>
          <w:tab w:val="left" w:pos="360"/>
          <w:tab w:val="left" w:pos="1170"/>
          <w:tab w:val="left" w:pos="1620"/>
        </w:tabs>
        <w:ind w:left="360" w:right="90"/>
      </w:pPr>
      <w:r>
        <w:rPr>
          <w:b/>
        </w:rPr>
        <w:t>FROM:</w:t>
      </w:r>
      <w:r>
        <w:rPr>
          <w:b/>
        </w:rPr>
        <w:tab/>
      </w:r>
      <w:r>
        <w:rPr>
          <w:bCs/>
        </w:rPr>
        <w:t>Therese Harris, Infrastructure Division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5FA1800" w14:textId="77777777" w:rsidR="00F256BD" w:rsidRDefault="00F256BD" w:rsidP="00F256BD">
      <w:pPr>
        <w:tabs>
          <w:tab w:val="left" w:pos="360"/>
          <w:tab w:val="left" w:pos="1170"/>
          <w:tab w:val="left" w:pos="1620"/>
        </w:tabs>
        <w:ind w:left="360" w:right="990"/>
      </w:pPr>
      <w:r>
        <w:tab/>
      </w:r>
      <w:r>
        <w:tab/>
      </w:r>
    </w:p>
    <w:p w14:paraId="36778195" w14:textId="6897DAEA" w:rsidR="00F256BD" w:rsidRDefault="00F256BD" w:rsidP="00F256BD">
      <w:pPr>
        <w:tabs>
          <w:tab w:val="left" w:pos="360"/>
          <w:tab w:val="left" w:pos="1620"/>
        </w:tabs>
        <w:spacing w:before="240"/>
        <w:ind w:left="360" w:right="990"/>
      </w:pPr>
      <w:r>
        <w:rPr>
          <w:b/>
        </w:rPr>
        <w:t>DATE:</w:t>
      </w:r>
      <w:r>
        <w:rPr>
          <w:b/>
        </w:rPr>
        <w:tab/>
      </w:r>
      <w:r w:rsidR="009C1E0B" w:rsidRPr="009C1E0B">
        <w:rPr>
          <w:bCs/>
        </w:rPr>
        <w:t>June 26, 2022</w:t>
      </w:r>
      <w:r>
        <w:br/>
      </w:r>
    </w:p>
    <w:p w14:paraId="21B2F2D8" w14:textId="7E570281" w:rsidR="00F256BD" w:rsidRDefault="00F256BD" w:rsidP="00F256BD">
      <w:pPr>
        <w:tabs>
          <w:tab w:val="left" w:pos="360"/>
          <w:tab w:val="left" w:pos="1620"/>
        </w:tabs>
        <w:ind w:left="360" w:right="990"/>
        <w:rPr>
          <w:bCs/>
        </w:rPr>
      </w:pPr>
      <w:r>
        <w:rPr>
          <w:b/>
        </w:rPr>
        <w:t>RE:</w:t>
      </w:r>
      <w:r>
        <w:rPr>
          <w:b/>
        </w:rPr>
        <w:tab/>
      </w:r>
      <w:r>
        <w:rPr>
          <w:bCs/>
        </w:rPr>
        <w:t>Project No. 38578 - Energy Efficiency Implementation Project under 16 TAC</w:t>
      </w:r>
      <w:r>
        <w:rPr>
          <w:bCs/>
        </w:rPr>
        <w:tab/>
      </w:r>
      <w:r>
        <w:rPr>
          <w:bCs/>
        </w:rPr>
        <w:tab/>
        <w:t>§ 25.181(q)</w:t>
      </w:r>
    </w:p>
    <w:p w14:paraId="691B0768" w14:textId="30398549" w:rsidR="00F256BD" w:rsidRDefault="00F256BD" w:rsidP="00F256BD">
      <w:pPr>
        <w:tabs>
          <w:tab w:val="left" w:pos="360"/>
        </w:tabs>
        <w:ind w:left="360" w:right="990"/>
      </w:pPr>
      <w:r>
        <w:rPr>
          <w:bCs/>
        </w:rPr>
        <w:tab/>
      </w:r>
    </w:p>
    <w:p w14:paraId="4CF810CC" w14:textId="06BD7705" w:rsidR="00F256BD" w:rsidRDefault="00F256BD" w:rsidP="00F256BD">
      <w:pPr>
        <w:tabs>
          <w:tab w:val="left" w:pos="720"/>
        </w:tabs>
        <w:ind w:left="720" w:right="990" w:hanging="360"/>
        <w:rPr>
          <w:rFonts w:ascii="Arial" w:hAnsi="Arial" w:cs="Arial"/>
          <w:b/>
          <w:bCs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EB8B8" wp14:editId="50C904C0">
                <wp:simplePos x="0" y="0"/>
                <wp:positionH relativeFrom="column">
                  <wp:posOffset>215265</wp:posOffset>
                </wp:positionH>
                <wp:positionV relativeFrom="paragraph">
                  <wp:posOffset>-5080</wp:posOffset>
                </wp:positionV>
                <wp:extent cx="6534150" cy="45720"/>
                <wp:effectExtent l="0" t="0" r="19050" b="3048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34150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99B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6.95pt;margin-top:-.4pt;width:514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"/>
            </w:pict>
          </mc:Fallback>
        </mc:AlternateContent>
      </w:r>
    </w:p>
    <w:p w14:paraId="63A95127" w14:textId="7B6DCAEA" w:rsidR="00F256BD" w:rsidRDefault="00F256BD" w:rsidP="00F256BD">
      <w:pPr>
        <w:tabs>
          <w:tab w:val="left" w:pos="360"/>
          <w:tab w:val="left" w:pos="9810"/>
        </w:tabs>
        <w:ind w:left="360" w:right="990"/>
        <w:rPr>
          <w:b/>
          <w:bCs/>
          <w:szCs w:val="24"/>
        </w:rPr>
      </w:pPr>
      <w:r>
        <w:rPr>
          <w:b/>
          <w:bCs/>
          <w:szCs w:val="24"/>
        </w:rPr>
        <w:t xml:space="preserve">Avoided Cost of </w:t>
      </w:r>
      <w:r w:rsidR="00F80616">
        <w:rPr>
          <w:b/>
          <w:bCs/>
          <w:szCs w:val="24"/>
        </w:rPr>
        <w:t>Energy</w:t>
      </w:r>
      <w:r>
        <w:rPr>
          <w:b/>
          <w:bCs/>
          <w:szCs w:val="24"/>
        </w:rPr>
        <w:t xml:space="preserve"> for the 2022 Program Year</w:t>
      </w:r>
    </w:p>
    <w:p w14:paraId="13CC0EE1" w14:textId="77777777" w:rsidR="00F80616" w:rsidRDefault="00F80616" w:rsidP="00F80616">
      <w:pPr>
        <w:tabs>
          <w:tab w:val="left" w:pos="360"/>
          <w:tab w:val="left" w:pos="1620"/>
        </w:tabs>
        <w:ind w:left="360" w:right="990"/>
        <w:rPr>
          <w:bCs/>
        </w:rPr>
      </w:pPr>
    </w:p>
    <w:p w14:paraId="719B2659" w14:textId="5A165CB9" w:rsidR="00F256BD" w:rsidRDefault="00F80616" w:rsidP="009C1E0B">
      <w:pPr>
        <w:tabs>
          <w:tab w:val="left" w:pos="360"/>
          <w:tab w:val="left" w:pos="1620"/>
        </w:tabs>
        <w:ind w:left="360" w:right="540"/>
        <w:rPr>
          <w:b/>
          <w:bCs/>
          <w:szCs w:val="24"/>
        </w:rPr>
      </w:pPr>
      <w:r>
        <w:rPr>
          <w:bCs/>
        </w:rPr>
        <w:t xml:space="preserve">Due to the unique circumstances caused by the February 2021 winter-weather event, the Commission found good cause to grant an exception to the requirements of </w:t>
      </w:r>
      <w:r w:rsidRPr="00FE169E">
        <w:rPr>
          <w:szCs w:val="24"/>
        </w:rPr>
        <w:t>16 TAC § 25.181(d)(3)(A</w:t>
      </w:r>
      <w:r>
        <w:rPr>
          <w:szCs w:val="24"/>
        </w:rPr>
        <w:t>) and set the avoided cost of energy at $85 per MWh</w:t>
      </w:r>
      <w:r w:rsidR="00285727">
        <w:rPr>
          <w:szCs w:val="24"/>
        </w:rPr>
        <w:t xml:space="preserve"> for the 2022 program year</w:t>
      </w:r>
      <w:r>
        <w:rPr>
          <w:szCs w:val="24"/>
        </w:rPr>
        <w:t>.</w:t>
      </w:r>
      <w:r>
        <w:rPr>
          <w:rStyle w:val="FootnoteReference"/>
          <w:szCs w:val="24"/>
        </w:rPr>
        <w:footnoteReference w:id="1"/>
      </w:r>
      <w:r>
        <w:rPr>
          <w:szCs w:val="24"/>
        </w:rPr>
        <w:t xml:space="preserve"> </w:t>
      </w:r>
    </w:p>
    <w:p w14:paraId="21D553BA" w14:textId="77777777" w:rsidR="00F80616" w:rsidRDefault="00F80616" w:rsidP="009C1E0B">
      <w:pPr>
        <w:tabs>
          <w:tab w:val="left" w:pos="360"/>
          <w:tab w:val="left" w:pos="9810"/>
        </w:tabs>
        <w:ind w:left="360" w:right="540"/>
        <w:rPr>
          <w:b/>
          <w:bCs/>
          <w:szCs w:val="24"/>
        </w:rPr>
      </w:pPr>
    </w:p>
    <w:p w14:paraId="71F6E8BA" w14:textId="5661999E" w:rsidR="00F256BD" w:rsidRDefault="00F80616" w:rsidP="009C1E0B">
      <w:pPr>
        <w:tabs>
          <w:tab w:val="left" w:pos="360"/>
        </w:tabs>
        <w:ind w:left="360" w:right="540"/>
        <w:jc w:val="both"/>
        <w:rPr>
          <w:szCs w:val="24"/>
        </w:rPr>
      </w:pPr>
      <w:r w:rsidRPr="009C1E0B">
        <w:rPr>
          <w:szCs w:val="24"/>
        </w:rPr>
        <w:t xml:space="preserve">From February 12 through 17, 2021, Winter Storm Uri brought extreme cold weather conditions to Texas, resulting in extensive generator outages and derates across Texas. ERCOT real-time energy prices were at or very near the high system-wide offer cap of $9,000 per MWh from February 15 through 19,2021. </w:t>
      </w:r>
      <w:r w:rsidR="004D4004">
        <w:rPr>
          <w:szCs w:val="24"/>
        </w:rPr>
        <w:t xml:space="preserve"> U</w:t>
      </w:r>
      <w:r w:rsidR="004D4004">
        <w:t xml:space="preserve">sing the competitive load-zone-settlement-point prices for the 2020 through 2021 winter peak period to calculate the 2022 avoided cost of energy as required under </w:t>
      </w:r>
      <w:r w:rsidR="004D4004" w:rsidRPr="00FE169E">
        <w:rPr>
          <w:szCs w:val="24"/>
        </w:rPr>
        <w:t>16 TAC § 25.181(d)(3)(A</w:t>
      </w:r>
      <w:r w:rsidR="004D4004">
        <w:rPr>
          <w:szCs w:val="24"/>
        </w:rPr>
        <w:t xml:space="preserve">) would have resulted </w:t>
      </w:r>
      <w:r w:rsidR="004D4004">
        <w:t>in a final load-weighted average of $156.48 per MWh.  In its petition</w:t>
      </w:r>
      <w:r w:rsidR="00AC14D9">
        <w:t xml:space="preserve">, </w:t>
      </w:r>
      <w:r w:rsidR="004D4004">
        <w:t>Commission Staff asserted that the use of this average would result in abnormal cost-effectiveness determinations for utilities' energy-efficiency programs for the 2022 and 2023 program years.</w:t>
      </w:r>
      <w:r w:rsidR="00AC14D9" w:rsidRPr="00AC14D9">
        <w:rPr>
          <w:rStyle w:val="FootnoteReference"/>
        </w:rPr>
        <w:t xml:space="preserve"> </w:t>
      </w:r>
      <w:r w:rsidR="00AC14D9">
        <w:rPr>
          <w:rStyle w:val="FootnoteReference"/>
        </w:rPr>
        <w:footnoteReference w:id="2"/>
      </w:r>
      <w:r w:rsidR="00AC14D9">
        <w:t xml:space="preserve"> </w:t>
      </w:r>
      <w:r w:rsidR="004D4004">
        <w:t xml:space="preserve"> </w:t>
      </w:r>
    </w:p>
    <w:p w14:paraId="2FD3A835" w14:textId="65E8C681" w:rsidR="00F80616" w:rsidRDefault="00F80616" w:rsidP="00F256BD">
      <w:pPr>
        <w:tabs>
          <w:tab w:val="left" w:pos="360"/>
          <w:tab w:val="left" w:pos="9810"/>
        </w:tabs>
        <w:ind w:left="360" w:right="540"/>
        <w:jc w:val="both"/>
        <w:rPr>
          <w:szCs w:val="24"/>
        </w:rPr>
      </w:pPr>
    </w:p>
    <w:p w14:paraId="6444DFA4" w14:textId="47C4E2C4" w:rsidR="00F256BD" w:rsidRDefault="00F256BD" w:rsidP="00F34EEB">
      <w:pPr>
        <w:ind w:left="360"/>
        <w:rPr>
          <w:rFonts w:ascii="Arial" w:hAnsi="Arial" w:cs="Arial"/>
          <w:sz w:val="20"/>
        </w:rPr>
      </w:pPr>
    </w:p>
    <w:p w14:paraId="41447E6E" w14:textId="77777777" w:rsidR="00F256BD" w:rsidRDefault="00F256BD" w:rsidP="00F256BD">
      <w:pPr>
        <w:ind w:left="720"/>
        <w:rPr>
          <w:rFonts w:ascii="Arial" w:hAnsi="Arial" w:cs="Arial"/>
          <w:sz w:val="20"/>
        </w:rPr>
      </w:pPr>
    </w:p>
    <w:p w14:paraId="7BB3125B" w14:textId="0586055D" w:rsidR="00F256BD" w:rsidRDefault="00F256BD" w:rsidP="00F34EEB">
      <w:pPr>
        <w:ind w:left="360"/>
        <w:rPr>
          <w:rFonts w:ascii="Arial" w:hAnsi="Arial" w:cs="Arial"/>
          <w:sz w:val="20"/>
        </w:rPr>
      </w:pPr>
    </w:p>
    <w:p w14:paraId="1FD42971" w14:textId="0423C4EA" w:rsidR="00F256BD" w:rsidRDefault="00F256BD" w:rsidP="00F34EEB">
      <w:pPr>
        <w:ind w:firstLine="450"/>
        <w:rPr>
          <w:rFonts w:ascii="Arial" w:hAnsi="Arial" w:cs="Arial"/>
          <w:sz w:val="20"/>
        </w:rPr>
      </w:pPr>
    </w:p>
    <w:p w14:paraId="2CA879F4" w14:textId="7D57808A" w:rsidR="00F256BD" w:rsidRPr="00F256BD" w:rsidRDefault="00F256BD" w:rsidP="00F256BD">
      <w:pPr>
        <w:sectPr w:rsidR="00F256BD" w:rsidRPr="00F256BD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565B4CD2" w14:textId="77777777" w:rsidR="009E3AC7" w:rsidRDefault="009E3AC7" w:rsidP="00F34EEB">
      <w:pPr>
        <w:ind w:left="90"/>
      </w:pPr>
    </w:p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77A0C" w14:textId="77777777" w:rsidR="00F256BD" w:rsidRDefault="00F256BD" w:rsidP="00F205E0">
      <w:r>
        <w:separator/>
      </w:r>
    </w:p>
  </w:endnote>
  <w:endnote w:type="continuationSeparator" w:id="0">
    <w:p w14:paraId="137315D9" w14:textId="77777777" w:rsidR="00F256BD" w:rsidRDefault="00F256BD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6B0A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2" w14:anchorId="097EC5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35pt" fillcolor="window">
          <v:imagedata r:id="rId1" o:title=""/>
        </v:shape>
        <o:OLEObject Type="Embed" ProgID="MSDraw" ShapeID="_x0000_i1025" DrawAspect="Content" ObjectID="_1717753145" r:id="rId2">
          <o:FieldCodes>\* mergeformat</o:FieldCodes>
        </o:OLEObject>
      </w:object>
    </w:r>
  </w:p>
  <w:p w14:paraId="50A95DEF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C858B0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A33EA14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8B32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F0390" w14:textId="77777777" w:rsidR="00F256BD" w:rsidRDefault="00F256BD" w:rsidP="00F205E0">
      <w:r>
        <w:separator/>
      </w:r>
    </w:p>
  </w:footnote>
  <w:footnote w:type="continuationSeparator" w:id="0">
    <w:p w14:paraId="29B52E84" w14:textId="77777777" w:rsidR="00F256BD" w:rsidRDefault="00F256BD" w:rsidP="00F205E0">
      <w:r>
        <w:continuationSeparator/>
      </w:r>
    </w:p>
  </w:footnote>
  <w:footnote w:id="1">
    <w:p w14:paraId="67024BC5" w14:textId="6E183270" w:rsidR="00F80616" w:rsidRPr="00F80616" w:rsidRDefault="00F80616" w:rsidP="001C059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1C059C">
        <w:t xml:space="preserve"> </w:t>
      </w:r>
      <w:r w:rsidRPr="009C1E0B">
        <w:rPr>
          <w:i/>
          <w:iCs/>
        </w:rPr>
        <w:t xml:space="preserve">Commission Staff's Petition for a Good Cause Exception </w:t>
      </w:r>
      <w:r w:rsidR="001C059C">
        <w:rPr>
          <w:i/>
          <w:iCs/>
        </w:rPr>
        <w:t>t</w:t>
      </w:r>
      <w:r w:rsidRPr="009C1E0B">
        <w:rPr>
          <w:i/>
          <w:iCs/>
        </w:rPr>
        <w:t xml:space="preserve">o 16 Texas Administrative Code § 25.181(D)(3)(A) and to Set the Avoided Cost </w:t>
      </w:r>
      <w:r>
        <w:rPr>
          <w:i/>
          <w:iCs/>
        </w:rPr>
        <w:t>o</w:t>
      </w:r>
      <w:r w:rsidRPr="009C1E0B">
        <w:rPr>
          <w:i/>
          <w:iCs/>
        </w:rPr>
        <w:t>f Energy Under § 25.181(D)(3)(A) For 2022 Electric Utility Energy Efficiency Programs</w:t>
      </w:r>
      <w:r>
        <w:rPr>
          <w:i/>
          <w:iCs/>
        </w:rPr>
        <w:t xml:space="preserve">, </w:t>
      </w:r>
      <w:r>
        <w:t>Docket No. 52871</w:t>
      </w:r>
      <w:r w:rsidRPr="00050622">
        <w:rPr>
          <w:i/>
          <w:iCs/>
        </w:rPr>
        <w:t xml:space="preserve">, </w:t>
      </w:r>
      <w:r>
        <w:t xml:space="preserve">Order </w:t>
      </w:r>
      <w:r w:rsidR="001C059C">
        <w:t>(</w:t>
      </w:r>
      <w:r>
        <w:t>May 12, 2022</w:t>
      </w:r>
      <w:r w:rsidR="001C059C">
        <w:t>)</w:t>
      </w:r>
      <w:r>
        <w:t xml:space="preserve">. </w:t>
      </w:r>
    </w:p>
  </w:footnote>
  <w:footnote w:id="2">
    <w:p w14:paraId="5AA87B7C" w14:textId="77777777" w:rsidR="00AC14D9" w:rsidRDefault="00AC14D9" w:rsidP="00AC14D9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Pr="009C1E0B">
        <w:rPr>
          <w:i/>
          <w:iCs/>
        </w:rPr>
        <w:t>Id</w:t>
      </w:r>
      <w:r>
        <w:rPr>
          <w:i/>
          <w:iCs/>
        </w:rPr>
        <w:t xml:space="preserve"> at 4</w:t>
      </w:r>
      <w:r w:rsidRPr="009C1E0B">
        <w:rPr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660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0714DFA9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1E4B9F2" wp14:editId="1EBE66E9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46D50F31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6B49880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94B4E34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903E35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535D1F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4CC46A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64279F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5F4EC33D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6BA4DD50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2ECB44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708B3D0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33E70AFB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419CFF8C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3F0478D3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99BFDC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6062E3C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B7BB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trackRevisions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6BD"/>
    <w:rsid w:val="00052A22"/>
    <w:rsid w:val="00054249"/>
    <w:rsid w:val="00081D53"/>
    <w:rsid w:val="000A4384"/>
    <w:rsid w:val="000C28E0"/>
    <w:rsid w:val="001C059C"/>
    <w:rsid w:val="001C60C2"/>
    <w:rsid w:val="00210A67"/>
    <w:rsid w:val="00266D3A"/>
    <w:rsid w:val="00285727"/>
    <w:rsid w:val="002A460E"/>
    <w:rsid w:val="002C6B71"/>
    <w:rsid w:val="002C7323"/>
    <w:rsid w:val="00304A7D"/>
    <w:rsid w:val="00333DA2"/>
    <w:rsid w:val="003B52A7"/>
    <w:rsid w:val="003C1C7E"/>
    <w:rsid w:val="003D3E2D"/>
    <w:rsid w:val="003F6056"/>
    <w:rsid w:val="00467443"/>
    <w:rsid w:val="004D4004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C1E0B"/>
    <w:rsid w:val="009E3AC7"/>
    <w:rsid w:val="009F15AB"/>
    <w:rsid w:val="00A12349"/>
    <w:rsid w:val="00AC14D9"/>
    <w:rsid w:val="00AC26D9"/>
    <w:rsid w:val="00AD68A5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36350"/>
    <w:rsid w:val="00D90769"/>
    <w:rsid w:val="00D96923"/>
    <w:rsid w:val="00DC43CA"/>
    <w:rsid w:val="00DE78BA"/>
    <w:rsid w:val="00E26D70"/>
    <w:rsid w:val="00E30FA8"/>
    <w:rsid w:val="00E74285"/>
    <w:rsid w:val="00E83210"/>
    <w:rsid w:val="00EA3A3B"/>
    <w:rsid w:val="00EE430E"/>
    <w:rsid w:val="00F205E0"/>
    <w:rsid w:val="00F256BD"/>
    <w:rsid w:val="00F34EEB"/>
    <w:rsid w:val="00F601E8"/>
    <w:rsid w:val="00F63618"/>
    <w:rsid w:val="00F72522"/>
    <w:rsid w:val="00F80616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58CEE7EA"/>
  <w15:docId w15:val="{12ABC7E4-EEDF-441D-90B8-90731E41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6BD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256BD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061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0616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06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9679F-2753-4265-9313-AE3AD5DC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2022-06-26T17:52:00Z</dcterms:created>
  <dcterms:modified xsi:type="dcterms:W3CDTF">2022-06-26T17:52:00Z</dcterms:modified>
</cp:coreProperties>
</file>